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sz w:val="28"/>
          <w:szCs w:val="36"/>
          <w:lang w:val="en-US" w:eastAsia="zh-CN"/>
        </w:rPr>
      </w:pPr>
    </w:p>
    <w:p>
      <w:pPr>
        <w:jc w:val="center"/>
        <w:rPr>
          <w:rFonts w:hint="eastAsia"/>
          <w:sz w:val="28"/>
          <w:szCs w:val="36"/>
          <w:lang w:val="en-US" w:eastAsia="zh-CN"/>
        </w:rPr>
      </w:pPr>
      <w:r>
        <w:rPr>
          <w:rFonts w:hint="eastAsia"/>
          <w:sz w:val="28"/>
          <w:szCs w:val="36"/>
          <w:lang w:val="en-US" w:eastAsia="zh-CN"/>
        </w:rPr>
        <w:t>报价评审</w:t>
      </w:r>
    </w:p>
    <w:tbl>
      <w:tblPr>
        <w:tblStyle w:val="2"/>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10"/>
        <w:gridCol w:w="907"/>
        <w:gridCol w:w="7935"/>
        <w:gridCol w:w="84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序号</w:t>
            </w:r>
          </w:p>
        </w:tc>
        <w:tc>
          <w:tcPr>
            <w:tcW w:w="4212"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评审因素</w:t>
            </w:r>
          </w:p>
        </w:tc>
        <w:tc>
          <w:tcPr>
            <w:tcW w:w="4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权值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540" w:hRule="atLeast"/>
        </w:trPr>
        <w:tc>
          <w:tcPr>
            <w:tcW w:w="38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43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投标报价</w:t>
            </w:r>
          </w:p>
        </w:tc>
        <w:tc>
          <w:tcPr>
            <w:tcW w:w="377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以经评委会认定满足采购文件要求且投标价格经过扣除以后最低的评审报价为评标基准价，其价格得分计30分。其他投标人的价格得分统一按公式计算：报价得分＝评标基准价÷评标报价×投标报价权值            </w:t>
            </w:r>
          </w:p>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根据“财政部令第87号”第六十条的规定: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报价分作投标无效处理。</w:t>
            </w:r>
          </w:p>
        </w:tc>
        <w:tc>
          <w:tcPr>
            <w:tcW w:w="40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30</w:t>
            </w:r>
          </w:p>
        </w:tc>
      </w:tr>
    </w:tbl>
    <w:p>
      <w:pPr>
        <w:bidi w:val="0"/>
        <w:jc w:val="center"/>
        <w:rPr>
          <w:rFonts w:hint="eastAsia" w:cstheme="minorBidi"/>
          <w:kern w:val="2"/>
          <w:sz w:val="28"/>
          <w:szCs w:val="36"/>
          <w:lang w:val="en-US" w:eastAsia="zh-CN" w:bidi="ar-SA"/>
        </w:rPr>
      </w:pPr>
      <w:r>
        <w:rPr>
          <w:rFonts w:hint="eastAsia" w:cstheme="minorBidi"/>
          <w:kern w:val="2"/>
          <w:sz w:val="28"/>
          <w:szCs w:val="36"/>
          <w:lang w:val="en-US" w:eastAsia="zh-CN" w:bidi="ar-SA"/>
        </w:rPr>
        <w:t>技术评审</w:t>
      </w:r>
    </w:p>
    <w:tbl>
      <w:tblPr>
        <w:tblStyle w:val="2"/>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705"/>
        <w:gridCol w:w="1073"/>
        <w:gridCol w:w="8069"/>
        <w:gridCol w:w="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序号</w:t>
            </w:r>
          </w:p>
        </w:tc>
        <w:tc>
          <w:tcPr>
            <w:tcW w:w="4354"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评审因素</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权值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5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整体物业管理服务方案</w:t>
            </w:r>
          </w:p>
        </w:tc>
        <w:tc>
          <w:tcPr>
            <w:tcW w:w="38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整体物业管理服务方案目标明确、管理模式科学、先进、完整，综合对比优的计5分；整体物业管理服务方案目标较明确，管理模式具体完整，综合对比良好的计3分；整体物业管理服务方案目标基本明确，管理模式不够完整，综合对比一般的计1分；差的或未提供的不计分。</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人员培训及管理方案</w:t>
            </w:r>
          </w:p>
        </w:tc>
        <w:tc>
          <w:tcPr>
            <w:tcW w:w="38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人员培训及管理方案、实施措施实用、合理、科学并具有针对性，综合对比优的计5分；管理方案完整，实施措施实用、可操作，综合对比良好的计3分；管理方案不完整，实施措施一般的计1分；差的或未提供的不计分。</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5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保洁管理方案和措施</w:t>
            </w:r>
          </w:p>
        </w:tc>
        <w:tc>
          <w:tcPr>
            <w:tcW w:w="38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保洁管理方案、实施措施实用、合理、科学并具有针对性，综合对比优的计5分；保洁管理方案完整，实施措施实用、可操作，综合对比良好的计3分；保洁管理方案不完整，实施措施一般的计1分；差的或未提供的不计分。</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5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学生宿舍管理方案</w:t>
            </w:r>
          </w:p>
        </w:tc>
        <w:tc>
          <w:tcPr>
            <w:tcW w:w="38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学生宿舍管理方案、实施措施实用、合理、科学并具有针对性，综合对比优的计5分；宿舍管理方案完整，实施措施实用、可操作，综合对比良好的计3分；宿舍管理方案不完整，实施措施一般的计1分；差的或未提供的不计分。</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5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维护维修管理方案和措施</w:t>
            </w:r>
          </w:p>
        </w:tc>
        <w:tc>
          <w:tcPr>
            <w:tcW w:w="38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维护维修管理方案完整，实施措施实用、合理、科学并具有针对性，综合对比优的计5分；管理方案完整，实施措施实用、可操作，综合对比良好的计 3分；管理方案不完整，实施措施一般的计1分；差的或未提供的不计分。</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5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绿化养护维护管理方案和措施</w:t>
            </w:r>
          </w:p>
        </w:tc>
        <w:tc>
          <w:tcPr>
            <w:tcW w:w="38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绿化养护维护管理方案完整，实施措施实用、合理、科学并具有针对性，综合对比优的计5分；绿化养护维护管理方案完整，实施措施实用、可操作，综合对比良好的计 3分；绿化养护维护管理方案不完整，实施措施一般的计1分；差的或未提供的不计分。</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5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服务质量管理方案</w:t>
            </w:r>
          </w:p>
        </w:tc>
        <w:tc>
          <w:tcPr>
            <w:tcW w:w="38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服务质量管理方案完整，实施措施实用、合理、科学并具有针对性，综合对比优的计5分；管理方案完整，实施措施实用、可操作，综合对比良好的计3分；管理方案不完整，实施措施一般的计1分；差的或未提供的不计分。</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00" w:hRule="atLeast"/>
        </w:trPr>
        <w:tc>
          <w:tcPr>
            <w:tcW w:w="33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51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应急突发事件处理方案</w:t>
            </w:r>
          </w:p>
        </w:tc>
        <w:tc>
          <w:tcPr>
            <w:tcW w:w="384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应急突发事件处理方案完整，实施措施实用、合理、科学并具有针对性，综合对比优的计5分；应急突发事件处理方案完整，实施措施实用、可操作，综合对比良好的计3分；应急突发事件处理方案不完整，实施措施一般的计1分；差的或未提供的不计分。</w:t>
            </w:r>
          </w:p>
        </w:tc>
        <w:tc>
          <w:tcPr>
            <w:tcW w:w="30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r>
              <w:rPr>
                <w:rFonts w:hint="eastAsia" w:ascii="宋体" w:hAnsi="宋体" w:eastAsia="宋体" w:cs="宋体"/>
                <w:i w:val="0"/>
                <w:color w:val="000000"/>
                <w:kern w:val="0"/>
                <w:sz w:val="21"/>
                <w:szCs w:val="21"/>
                <w:u w:val="none"/>
                <w:lang w:val="en-US" w:eastAsia="zh-CN" w:bidi="ar"/>
              </w:rPr>
              <w:t>5</w:t>
            </w:r>
          </w:p>
        </w:tc>
      </w:tr>
    </w:tbl>
    <w:p>
      <w:pPr>
        <w:bidi w:val="0"/>
        <w:jc w:val="center"/>
        <w:rPr>
          <w:rFonts w:hint="eastAsia" w:cstheme="minorBidi"/>
          <w:kern w:val="2"/>
          <w:sz w:val="28"/>
          <w:szCs w:val="36"/>
          <w:lang w:val="en-US" w:eastAsia="zh-CN" w:bidi="ar-SA"/>
        </w:rPr>
      </w:pPr>
      <w:r>
        <w:rPr>
          <w:rFonts w:hint="eastAsia" w:cstheme="minorBidi"/>
          <w:kern w:val="2"/>
          <w:sz w:val="28"/>
          <w:szCs w:val="36"/>
          <w:lang w:val="en-US" w:eastAsia="zh-CN" w:bidi="ar-SA"/>
        </w:rPr>
        <w:t>商务评审</w:t>
      </w:r>
    </w:p>
    <w:tbl>
      <w:tblPr>
        <w:tblStyle w:val="2"/>
        <w:tblW w:w="4999"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57"/>
        <w:gridCol w:w="1119"/>
        <w:gridCol w:w="7599"/>
        <w:gridCol w:w="11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80"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序号</w:t>
            </w:r>
          </w:p>
        </w:tc>
        <w:tc>
          <w:tcPr>
            <w:tcW w:w="4153" w:type="pct"/>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评审因素</w:t>
            </w:r>
          </w:p>
        </w:tc>
        <w:tc>
          <w:tcPr>
            <w:tcW w:w="53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权值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2194" w:hRule="atLeast"/>
        </w:trPr>
        <w:tc>
          <w:tcPr>
            <w:tcW w:w="31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综合实力</w:t>
            </w:r>
          </w:p>
        </w:tc>
        <w:tc>
          <w:tcPr>
            <w:tcW w:w="362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1、投标人具有有效期内的质量管理体系认证、环境管理体系认证、职业健康安全管理体系认证、能源管理体系认证证书的，计2分。每缺少一项扣1分，扣完为止。（投标文件中提供证书复印件加盖投标人公章，否则不计分。）</w:t>
            </w:r>
          </w:p>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2、投标人从事的项目被政府相关部门评定为垃圾分类示范单位的，每个项目计1分，满分为3分。（提供项目的政府采购合同及通报文件复印件并加盖投标人公章，否则不计分。）</w:t>
            </w:r>
          </w:p>
          <w:p>
            <w:pPr>
              <w:pStyle w:val="4"/>
              <w:jc w:val="center"/>
              <w:rPr>
                <w:rStyle w:val="3"/>
                <w:rFonts w:ascii="宋体" w:hAnsi="宋体" w:eastAsia="宋体" w:cs="宋体"/>
                <w:b w:val="0"/>
                <w:sz w:val="21"/>
                <w:szCs w:val="24"/>
              </w:rPr>
            </w:pPr>
            <w:r>
              <w:rPr>
                <w:rFonts w:hint="eastAsia" w:ascii="宋体" w:hAnsi="宋体" w:eastAsia="宋体" w:cs="宋体"/>
                <w:i w:val="0"/>
                <w:color w:val="000000"/>
                <w:kern w:val="0"/>
                <w:sz w:val="21"/>
                <w:szCs w:val="21"/>
                <w:u w:val="none"/>
                <w:lang w:val="en-US" w:eastAsia="zh-CN" w:bidi="ar"/>
              </w:rPr>
              <w:t>3、</w:t>
            </w:r>
            <w:r>
              <w:rPr>
                <w:rStyle w:val="3"/>
                <w:rFonts w:ascii="宋体" w:hAnsi="宋体" w:eastAsia="宋体" w:cs="宋体"/>
                <w:b w:val="0"/>
                <w:sz w:val="21"/>
                <w:szCs w:val="24"/>
              </w:rPr>
              <w:t>投标人近三年来获得市级及以上政府部门颁发的“文明单位”荣誉或奖励的计</w:t>
            </w:r>
            <w:r>
              <w:rPr>
                <w:rStyle w:val="3"/>
                <w:rFonts w:hint="eastAsia" w:ascii="宋体" w:hAnsi="宋体" w:cs="宋体"/>
                <w:b w:val="0"/>
                <w:sz w:val="21"/>
                <w:szCs w:val="24"/>
                <w:lang w:val="en-US" w:eastAsia="zh-CN"/>
              </w:rPr>
              <w:t>4</w:t>
            </w:r>
            <w:r>
              <w:rPr>
                <w:rStyle w:val="3"/>
                <w:rFonts w:ascii="宋体" w:hAnsi="宋体" w:eastAsia="宋体" w:cs="宋体"/>
                <w:b w:val="0"/>
                <w:sz w:val="21"/>
                <w:szCs w:val="24"/>
              </w:rPr>
              <w:t>分。（投标文件中提供奖状、奖牌、文件等证明材料加盖投标人公章，否则不计分。）</w:t>
            </w:r>
          </w:p>
          <w:p>
            <w:pPr>
              <w:pStyle w:val="4"/>
              <w:jc w:val="both"/>
              <w:rPr>
                <w:rStyle w:val="3"/>
                <w:rFonts w:hint="default" w:ascii="宋体" w:hAnsi="宋体" w:eastAsia="宋体" w:cs="宋体"/>
                <w:b w:val="0"/>
                <w:sz w:val="21"/>
                <w:szCs w:val="24"/>
                <w:lang w:val="en-US" w:eastAsia="zh-CN"/>
              </w:rPr>
            </w:pPr>
            <w:r>
              <w:rPr>
                <w:rStyle w:val="3"/>
                <w:rFonts w:hint="eastAsia" w:ascii="宋体" w:hAnsi="宋体" w:cs="宋体"/>
                <w:b w:val="0"/>
                <w:sz w:val="21"/>
                <w:szCs w:val="24"/>
                <w:lang w:val="en-US" w:eastAsia="zh-CN"/>
              </w:rPr>
              <w:t>4、</w:t>
            </w:r>
            <w:r>
              <w:rPr>
                <w:rStyle w:val="3"/>
                <w:rFonts w:ascii="宋体" w:hAnsi="宋体" w:eastAsia="宋体" w:cs="宋体"/>
                <w:b w:val="0"/>
                <w:sz w:val="21"/>
                <w:szCs w:val="24"/>
              </w:rPr>
              <w:t>投标人获得省级或以上行业协会信用评价等级为AAA级的计2分，AA级的计1分。（提供有效期内的相关证明文件复印件并加盖投标人公章，否则不计分。）</w:t>
            </w:r>
          </w:p>
        </w:tc>
        <w:tc>
          <w:tcPr>
            <w:tcW w:w="533" w:type="pct"/>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eastAsia="宋体" w:cs="宋体"/>
                <w:i w:val="0"/>
                <w:color w:val="000000"/>
                <w:sz w:val="21"/>
                <w:szCs w:val="21"/>
                <w:u w:val="none"/>
                <w:lang w:val="en-US" w:eastAsia="zh-CN"/>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80" w:hRule="atLeast"/>
        </w:trPr>
        <w:tc>
          <w:tcPr>
            <w:tcW w:w="313"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533"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项目人员</w:t>
            </w:r>
          </w:p>
        </w:tc>
        <w:tc>
          <w:tcPr>
            <w:tcW w:w="362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投入本项目的拟任项目经理具有：</w:t>
            </w:r>
          </w:p>
          <w:p>
            <w:pPr>
              <w:keepNext w:val="0"/>
              <w:keepLines w:val="0"/>
              <w:widowControl/>
              <w:numPr>
                <w:ilvl w:val="0"/>
                <w:numId w:val="1"/>
              </w:numPr>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全日制专科或以上学历的计1分；</w:t>
            </w:r>
          </w:p>
          <w:p>
            <w:pPr>
              <w:keepNext w:val="0"/>
              <w:keepLines w:val="0"/>
              <w:widowControl/>
              <w:numPr>
                <w:ilvl w:val="0"/>
                <w:numId w:val="1"/>
              </w:numPr>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物业管理师证的计1分；</w:t>
            </w:r>
          </w:p>
          <w:p>
            <w:pPr>
              <w:keepNext w:val="0"/>
              <w:keepLines w:val="0"/>
              <w:widowControl/>
              <w:numPr>
                <w:ilvl w:val="0"/>
                <w:numId w:val="1"/>
              </w:numPr>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sz w:val="21"/>
                <w:szCs w:val="21"/>
                <w:u w:val="none"/>
                <w:lang w:val="en-US" w:eastAsia="zh-CN"/>
              </w:rPr>
              <w:t>参加过省级及以上行业协会组织的专业岗位培训，培训合格并颁发由证书的计3分。</w:t>
            </w:r>
          </w:p>
          <w:p>
            <w:pPr>
              <w:keepNext w:val="0"/>
              <w:keepLines w:val="0"/>
              <w:widowControl/>
              <w:numPr>
                <w:ilvl w:val="0"/>
                <w:numId w:val="0"/>
              </w:numPr>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(提供人员证书复印件及相关证明材料，并加盖投标人公章，否则不计分。）</w:t>
            </w:r>
          </w:p>
        </w:tc>
        <w:tc>
          <w:tcPr>
            <w:tcW w:w="533" w:type="pct"/>
            <w:vMerge w:val="restart"/>
            <w:tcBorders>
              <w:top w:val="single" w:color="000000" w:sz="4" w:space="0"/>
              <w:left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333" w:hRule="atLeast"/>
        </w:trPr>
        <w:tc>
          <w:tcPr>
            <w:tcW w:w="313"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533"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362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投入本项目的人员具有：</w:t>
            </w:r>
          </w:p>
          <w:p>
            <w:pPr>
              <w:keepNext w:val="0"/>
              <w:keepLines w:val="0"/>
              <w:widowControl/>
              <w:numPr>
                <w:ilvl w:val="0"/>
                <w:numId w:val="2"/>
              </w:numPr>
              <w:suppressLineNumbers w:val="0"/>
              <w:jc w:val="left"/>
              <w:textAlignment w:val="center"/>
              <w:rPr>
                <w:rFonts w:hint="eastAsia" w:ascii="宋体" w:hAnsi="宋体" w:eastAsia="宋体" w:cs="宋体"/>
                <w:i w:val="0"/>
                <w:color w:val="000000"/>
                <w:kern w:val="0"/>
                <w:sz w:val="21"/>
                <w:szCs w:val="21"/>
                <w:u w:val="none"/>
                <w:lang w:val="en-US" w:eastAsia="zh-CN" w:bidi="ar"/>
              </w:rPr>
            </w:pPr>
            <w:r>
              <w:rPr>
                <w:rStyle w:val="3"/>
                <w:rFonts w:ascii="宋体" w:hAnsi="宋体" w:eastAsia="宋体" w:cs="宋体"/>
                <w:b w:val="0"/>
                <w:sz w:val="21"/>
                <w:szCs w:val="24"/>
              </w:rPr>
              <w:t>社保机构出具的投标人近三个月</w:t>
            </w:r>
            <w:bookmarkStart w:id="0" w:name="_GoBack"/>
            <w:bookmarkEnd w:id="0"/>
            <w:r>
              <w:rPr>
                <w:rStyle w:val="3"/>
                <w:rFonts w:ascii="宋体" w:hAnsi="宋体" w:eastAsia="宋体" w:cs="宋体"/>
                <w:b w:val="0"/>
                <w:sz w:val="21"/>
                <w:szCs w:val="24"/>
              </w:rPr>
              <w:t>为其缴纳的社保证明材料复印件，每提供14人证明材料计1分，计满2分为止</w:t>
            </w:r>
          </w:p>
          <w:p>
            <w:pPr>
              <w:keepNext w:val="0"/>
              <w:keepLines w:val="0"/>
              <w:widowControl/>
              <w:numPr>
                <w:ilvl w:val="0"/>
                <w:numId w:val="2"/>
              </w:numPr>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其中维修工具有政府主管部门颁发的电工作业类别的“特种作业操作证”的，计2分。（提供人员证书复印件及相关证明材料，并加盖投标人公章，否则不计分。）</w:t>
            </w:r>
          </w:p>
        </w:tc>
        <w:tc>
          <w:tcPr>
            <w:tcW w:w="533" w:type="pct"/>
            <w:vMerge w:val="continue"/>
            <w:tcBorders>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660" w:hRule="atLeast"/>
        </w:trPr>
        <w:tc>
          <w:tcPr>
            <w:tcW w:w="31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53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经营业绩</w:t>
            </w:r>
          </w:p>
        </w:tc>
        <w:tc>
          <w:tcPr>
            <w:tcW w:w="362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numPr>
                <w:ilvl w:val="0"/>
                <w:numId w:val="3"/>
              </w:numPr>
              <w:suppressLineNumbers w:val="0"/>
              <w:jc w:val="left"/>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投标人近三年（投标截止时间前36个月，以合同签订时间为准）承接管理过类似项目业绩的，每提供一个计1分，本项最多计5分。（注：同一个项目业绩不重复计分，投标文件中提供合同复印件并加盖投标人公章，否则不计分。）</w:t>
            </w:r>
          </w:p>
          <w:p>
            <w:pPr>
              <w:keepNext w:val="0"/>
              <w:keepLines w:val="0"/>
              <w:widowControl/>
              <w:numPr>
                <w:ilvl w:val="0"/>
                <w:numId w:val="3"/>
              </w:numPr>
              <w:suppressLineNumbers w:val="0"/>
              <w:jc w:val="left"/>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以上项目中有获得市级及以上政府部门或主管行业协会颁发的：五星级物业服务项目或物业管理示范综合项目或物业优质服务项目称号的，每提供一个计1分，计满5分止。（提供相关证明材料，并加盖投标人公章，否则不计分。）</w:t>
            </w:r>
          </w:p>
        </w:tc>
        <w:tc>
          <w:tcPr>
            <w:tcW w:w="533"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10</w:t>
            </w:r>
          </w:p>
        </w:tc>
      </w:tr>
    </w:tbl>
    <w:p>
      <w:pPr>
        <w:bidi w:val="0"/>
        <w:jc w:val="left"/>
        <w:rPr>
          <w:rFonts w:hint="default" w:asciiTheme="minorHAnsi" w:hAnsiTheme="minorHAnsi" w:eastAsiaTheme="minorEastAsia" w:cstheme="minorBidi"/>
          <w:kern w:val="2"/>
          <w:sz w:val="21"/>
          <w:szCs w:val="24"/>
          <w:lang w:val="en-US" w:eastAsia="zh-CN" w:bidi="ar-SA"/>
        </w:rPr>
      </w:pPr>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551A61"/>
    <w:multiLevelType w:val="singleLevel"/>
    <w:tmpl w:val="DD551A61"/>
    <w:lvl w:ilvl="0" w:tentative="0">
      <w:start w:val="1"/>
      <w:numFmt w:val="decimal"/>
      <w:suff w:val="nothing"/>
      <w:lvlText w:val="（%1）"/>
      <w:lvlJc w:val="left"/>
    </w:lvl>
  </w:abstractNum>
  <w:abstractNum w:abstractNumId="1">
    <w:nsid w:val="268A815C"/>
    <w:multiLevelType w:val="singleLevel"/>
    <w:tmpl w:val="268A815C"/>
    <w:lvl w:ilvl="0" w:tentative="0">
      <w:start w:val="1"/>
      <w:numFmt w:val="decimal"/>
      <w:suff w:val="nothing"/>
      <w:lvlText w:val="%1、"/>
      <w:lvlJc w:val="left"/>
    </w:lvl>
  </w:abstractNum>
  <w:abstractNum w:abstractNumId="2">
    <w:nsid w:val="292B6BED"/>
    <w:multiLevelType w:val="singleLevel"/>
    <w:tmpl w:val="292B6BED"/>
    <w:lvl w:ilvl="0" w:tentative="0">
      <w:start w:val="1"/>
      <w:numFmt w:val="decimal"/>
      <w:suff w:val="nothing"/>
      <w:lvlText w:val="%1、"/>
      <w:lvlJc w:val="left"/>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3380BDB"/>
    <w:rsid w:val="13D73ADB"/>
    <w:rsid w:val="16AB2445"/>
    <w:rsid w:val="1BA244A3"/>
    <w:rsid w:val="43380BDB"/>
    <w:rsid w:val="536A52B8"/>
    <w:rsid w:val="53AA364F"/>
    <w:rsid w:val="5A570C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paragraph" w:customStyle="1" w:styleId="4">
    <w:name w:val="Normal_0_2"/>
    <w:qFormat/>
    <w:uiPriority w:val="0"/>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22</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2021-11-26T03:03:00Z</dcterms:created>
  <dc:creator>37558</dc:creator>
  <cp:lastModifiedBy>nhwjsw</cp:lastModifiedBy>
  <cp:lastPrinted>2021-12-05T06:30:00Z</cp:lastPrinted>
  <dcterms:modified xsi:type="dcterms:W3CDTF">2021-12-16T11:51:48Z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9677BD29E06440EF9FA337FF9C6754F7</vt:lpwstr>
  </property>
</Properties>
</file>